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1775" w14:textId="77777777" w:rsidR="0023597A" w:rsidRPr="0023597A" w:rsidRDefault="0023597A" w:rsidP="0023597A">
      <w:pPr>
        <w:spacing w:after="0" w:line="240" w:lineRule="auto"/>
        <w:jc w:val="right"/>
        <w:rPr>
          <w:rFonts w:eastAsia="Times New Roman"/>
          <w:bCs/>
          <w:sz w:val="20"/>
          <w:szCs w:val="20"/>
          <w:lang w:eastAsia="pl-PL"/>
        </w:rPr>
      </w:pPr>
      <w:r w:rsidRPr="0023597A">
        <w:rPr>
          <w:rFonts w:eastAsia="Times New Roman"/>
          <w:bCs/>
          <w:sz w:val="20"/>
          <w:szCs w:val="20"/>
          <w:lang w:eastAsia="pl-PL"/>
        </w:rPr>
        <w:t>Zamawiający: Gmina Okonek</w:t>
      </w:r>
    </w:p>
    <w:p w14:paraId="4071A691" w14:textId="5E53C5E6" w:rsidR="0023597A" w:rsidRPr="0023597A" w:rsidRDefault="0023597A" w:rsidP="0023597A">
      <w:pPr>
        <w:spacing w:after="0" w:line="240" w:lineRule="auto"/>
        <w:jc w:val="right"/>
        <w:rPr>
          <w:rFonts w:eastAsia="Times New Roman"/>
          <w:bCs/>
          <w:sz w:val="20"/>
          <w:szCs w:val="20"/>
          <w:lang w:eastAsia="pl-PL"/>
        </w:rPr>
      </w:pPr>
      <w:r w:rsidRPr="0023597A">
        <w:rPr>
          <w:rFonts w:eastAsia="Times New Roman"/>
          <w:bCs/>
          <w:sz w:val="20"/>
          <w:szCs w:val="20"/>
          <w:lang w:eastAsia="pl-PL"/>
        </w:rPr>
        <w:t>Postępowanie przetargowe: WR.271.13</w:t>
      </w:r>
      <w:r>
        <w:rPr>
          <w:rFonts w:eastAsia="Times New Roman"/>
          <w:bCs/>
          <w:sz w:val="20"/>
          <w:szCs w:val="20"/>
          <w:lang w:eastAsia="pl-PL"/>
        </w:rPr>
        <w:t>-</w:t>
      </w:r>
      <w:r w:rsidR="007C18A1">
        <w:rPr>
          <w:rFonts w:eastAsia="Times New Roman"/>
          <w:bCs/>
          <w:sz w:val="20"/>
          <w:szCs w:val="20"/>
          <w:lang w:eastAsia="pl-PL"/>
        </w:rPr>
        <w:t>3</w:t>
      </w:r>
      <w:r w:rsidRPr="0023597A">
        <w:rPr>
          <w:rFonts w:eastAsia="Times New Roman"/>
          <w:bCs/>
          <w:sz w:val="20"/>
          <w:szCs w:val="20"/>
          <w:lang w:eastAsia="pl-PL"/>
        </w:rPr>
        <w:t>.2025.ZP</w:t>
      </w:r>
    </w:p>
    <w:p w14:paraId="630FD1F4" w14:textId="77777777" w:rsidR="0023597A" w:rsidRPr="0023597A" w:rsidRDefault="0023597A" w:rsidP="0023597A">
      <w:pPr>
        <w:spacing w:after="0" w:line="240" w:lineRule="auto"/>
        <w:jc w:val="right"/>
        <w:rPr>
          <w:rFonts w:eastAsia="Times New Roman"/>
          <w:b/>
          <w:bCs/>
          <w:i/>
          <w:sz w:val="20"/>
          <w:szCs w:val="20"/>
          <w:lang w:eastAsia="pl-PL"/>
        </w:rPr>
      </w:pPr>
      <w:r w:rsidRPr="0023597A">
        <w:rPr>
          <w:rFonts w:eastAsia="Times New Roman"/>
          <w:bCs/>
          <w:sz w:val="20"/>
          <w:szCs w:val="20"/>
          <w:lang w:eastAsia="pl-PL"/>
        </w:rPr>
        <w:t>Załącznik: nr 5 do SWZ</w:t>
      </w:r>
    </w:p>
    <w:p w14:paraId="70F67034" w14:textId="77777777" w:rsidR="0023597A" w:rsidRPr="0023597A" w:rsidRDefault="0023597A" w:rsidP="0023597A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393B70AE" w14:textId="77777777" w:rsidR="0023597A" w:rsidRPr="0023597A" w:rsidRDefault="0023597A" w:rsidP="0023597A">
      <w:pPr>
        <w:spacing w:after="0" w:line="240" w:lineRule="auto"/>
        <w:jc w:val="center"/>
        <w:rPr>
          <w:rFonts w:eastAsia="Times New Roman"/>
          <w:b/>
          <w:bCs/>
          <w:lang w:eastAsia="pl-PL"/>
        </w:rPr>
      </w:pPr>
      <w:r w:rsidRPr="0023597A">
        <w:rPr>
          <w:rFonts w:eastAsia="Times New Roman"/>
          <w:b/>
          <w:bCs/>
          <w:lang w:eastAsia="pl-PL"/>
        </w:rPr>
        <w:t>Szczegółowy opis przedmiotu zamówienia</w:t>
      </w:r>
    </w:p>
    <w:p w14:paraId="595558C3" w14:textId="5E24DE6A" w:rsidR="00D40120" w:rsidRPr="0023597A" w:rsidRDefault="00D40120" w:rsidP="00D40120">
      <w:pPr>
        <w:rPr>
          <w:b/>
          <w:bCs/>
        </w:rPr>
      </w:pPr>
      <w:r w:rsidRPr="00EA0EBB">
        <w:rPr>
          <w:rFonts w:asciiTheme="minorHAnsi" w:hAnsiTheme="minorHAnsi" w:cstheme="minorHAnsi"/>
          <w:sz w:val="20"/>
          <w:szCs w:val="20"/>
        </w:rPr>
        <w:t xml:space="preserve"> </w:t>
      </w:r>
      <w:r w:rsidR="0023597A" w:rsidRPr="0023597A">
        <w:rPr>
          <w:b/>
          <w:bCs/>
        </w:rPr>
        <w:t>I. Urządzenie klasy UTM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23597A" w:rsidRPr="0023597A" w14:paraId="02166DCD" w14:textId="77777777" w:rsidTr="000B53FB">
        <w:tc>
          <w:tcPr>
            <w:tcW w:w="2972" w:type="dxa"/>
          </w:tcPr>
          <w:p w14:paraId="126619FE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Typ urządzenia</w:t>
            </w:r>
          </w:p>
        </w:tc>
        <w:tc>
          <w:tcPr>
            <w:tcW w:w="6090" w:type="dxa"/>
          </w:tcPr>
          <w:p w14:paraId="71FFEC3A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Unified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Threat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Managment</w:t>
            </w:r>
            <w:proofErr w:type="spellEnd"/>
          </w:p>
        </w:tc>
      </w:tr>
      <w:tr w:rsidR="0023597A" w:rsidRPr="0023597A" w14:paraId="32512A2C" w14:textId="77777777" w:rsidTr="000B53FB">
        <w:tc>
          <w:tcPr>
            <w:tcW w:w="2972" w:type="dxa"/>
          </w:tcPr>
          <w:p w14:paraId="317F0759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Procesor</w:t>
            </w:r>
          </w:p>
        </w:tc>
        <w:tc>
          <w:tcPr>
            <w:tcW w:w="6090" w:type="dxa"/>
          </w:tcPr>
          <w:p w14:paraId="7149ABCF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Min. 4-rdzeniowy procesor o taktowaniu bazowym 2.2 GHz</w:t>
            </w:r>
          </w:p>
        </w:tc>
      </w:tr>
      <w:tr w:rsidR="0023597A" w:rsidRPr="0023597A" w14:paraId="090C8961" w14:textId="77777777" w:rsidTr="000B53FB">
        <w:tc>
          <w:tcPr>
            <w:tcW w:w="2972" w:type="dxa"/>
          </w:tcPr>
          <w:p w14:paraId="6ECBAB2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Pamięć RAM</w:t>
            </w:r>
          </w:p>
        </w:tc>
        <w:tc>
          <w:tcPr>
            <w:tcW w:w="6090" w:type="dxa"/>
          </w:tcPr>
          <w:p w14:paraId="16710654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Min. 8 GB pamięci RAM DDR4</w:t>
            </w:r>
          </w:p>
        </w:tc>
      </w:tr>
      <w:tr w:rsidR="0023597A" w:rsidRPr="007C18A1" w14:paraId="0CACB29B" w14:textId="77777777" w:rsidTr="000B53FB">
        <w:tc>
          <w:tcPr>
            <w:tcW w:w="2972" w:type="dxa"/>
          </w:tcPr>
          <w:p w14:paraId="40FEFEF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Dysk</w:t>
            </w:r>
          </w:p>
        </w:tc>
        <w:tc>
          <w:tcPr>
            <w:tcW w:w="6090" w:type="dxa"/>
          </w:tcPr>
          <w:p w14:paraId="11873FF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 xml:space="preserve">Min. 128 GB SSD M.2 </w:t>
            </w:r>
            <w:proofErr w:type="spellStart"/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NVMe</w:t>
            </w:r>
            <w:proofErr w:type="spellEnd"/>
          </w:p>
        </w:tc>
      </w:tr>
      <w:tr w:rsidR="0023597A" w:rsidRPr="0023597A" w14:paraId="319ECC44" w14:textId="77777777" w:rsidTr="000B53FB">
        <w:tc>
          <w:tcPr>
            <w:tcW w:w="2972" w:type="dxa"/>
          </w:tcPr>
          <w:p w14:paraId="584CA4AC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Interfejsy sieciowe</w:t>
            </w:r>
          </w:p>
        </w:tc>
        <w:tc>
          <w:tcPr>
            <w:tcW w:w="6090" w:type="dxa"/>
          </w:tcPr>
          <w:p w14:paraId="0F563573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2 x 10 GbE SFP+</w:t>
            </w:r>
          </w:p>
          <w:p w14:paraId="794D43E2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2 x 1 GbE Combo SFP+/RJ-45</w:t>
            </w:r>
          </w:p>
          <w:p w14:paraId="24321D67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Min. 4 x 2.5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GbE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 RJ-45</w:t>
            </w:r>
          </w:p>
        </w:tc>
      </w:tr>
      <w:tr w:rsidR="0023597A" w:rsidRPr="007C18A1" w14:paraId="1E41C00E" w14:textId="77777777" w:rsidTr="000B53FB">
        <w:tc>
          <w:tcPr>
            <w:tcW w:w="2972" w:type="dxa"/>
          </w:tcPr>
          <w:p w14:paraId="340F09FF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Wydajność</w:t>
            </w:r>
          </w:p>
        </w:tc>
        <w:tc>
          <w:tcPr>
            <w:tcW w:w="6090" w:type="dxa"/>
          </w:tcPr>
          <w:p w14:paraId="3FFF457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18,5 Gb/s L3 IPERF3Traffic</w:t>
            </w:r>
          </w:p>
          <w:p w14:paraId="3F17D6AB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6,08 Gb/s L3 IMIX Traffic</w:t>
            </w:r>
          </w:p>
          <w:p w14:paraId="10933710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9,93 Gb/s Firewall IPERF3 Traffic</w:t>
            </w:r>
          </w:p>
          <w:p w14:paraId="7AB42B96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2,73 Gb/s Firewall IMIX Traffic</w:t>
            </w:r>
          </w:p>
          <w:p w14:paraId="6CF92455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1,77 Gb/s IPsec VPN IPERF3 Traffic</w:t>
            </w:r>
          </w:p>
          <w:p w14:paraId="2CF3C10C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552 Mb/s IPsec VPN IMIX Traffic</w:t>
            </w:r>
          </w:p>
        </w:tc>
      </w:tr>
      <w:tr w:rsidR="0023597A" w:rsidRPr="007C18A1" w14:paraId="7B0ADAD5" w14:textId="77777777" w:rsidTr="000B53FB">
        <w:tc>
          <w:tcPr>
            <w:tcW w:w="2972" w:type="dxa"/>
          </w:tcPr>
          <w:p w14:paraId="5B7192A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Złącza</w:t>
            </w:r>
          </w:p>
        </w:tc>
        <w:tc>
          <w:tcPr>
            <w:tcW w:w="6090" w:type="dxa"/>
          </w:tcPr>
          <w:p w14:paraId="2F131783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Min. 1 x micro-USB</w:t>
            </w:r>
          </w:p>
          <w:p w14:paraId="0A79BB15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 xml:space="preserve">Min. 2 x USB 3.0 </w:t>
            </w:r>
            <w:proofErr w:type="spellStart"/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Typ</w:t>
            </w:r>
            <w:proofErr w:type="spellEnd"/>
            <w:r w:rsidRPr="0023597A">
              <w:rPr>
                <w:kern w:val="2"/>
                <w:sz w:val="20"/>
                <w:szCs w:val="20"/>
                <w:lang w:val="en-US"/>
                <w14:ligatures w14:val="standardContextual"/>
              </w:rPr>
              <w:t>-A</w:t>
            </w:r>
          </w:p>
        </w:tc>
      </w:tr>
      <w:tr w:rsidR="0023597A" w:rsidRPr="0023597A" w14:paraId="147F8ED2" w14:textId="77777777" w:rsidTr="000B53FB">
        <w:tc>
          <w:tcPr>
            <w:tcW w:w="2972" w:type="dxa"/>
          </w:tcPr>
          <w:p w14:paraId="6A7A2526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Wymiary</w:t>
            </w:r>
          </w:p>
        </w:tc>
        <w:tc>
          <w:tcPr>
            <w:tcW w:w="6090" w:type="dxa"/>
          </w:tcPr>
          <w:p w14:paraId="6AF001BD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Maks. 255 x 201 x 49 mm</w:t>
            </w:r>
          </w:p>
        </w:tc>
      </w:tr>
      <w:tr w:rsidR="0023597A" w:rsidRPr="0023597A" w14:paraId="7B4DFD6D" w14:textId="77777777" w:rsidTr="000B53FB">
        <w:tc>
          <w:tcPr>
            <w:tcW w:w="2972" w:type="dxa"/>
          </w:tcPr>
          <w:p w14:paraId="7C96DC23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Maksymalna liczba aktywnych połączeń</w:t>
            </w:r>
          </w:p>
        </w:tc>
        <w:tc>
          <w:tcPr>
            <w:tcW w:w="6090" w:type="dxa"/>
          </w:tcPr>
          <w:p w14:paraId="4288205A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Min. 4 mln</w:t>
            </w:r>
          </w:p>
        </w:tc>
      </w:tr>
      <w:tr w:rsidR="0023597A" w:rsidRPr="0023597A" w14:paraId="75ABA6BE" w14:textId="77777777" w:rsidTr="000B53FB">
        <w:tc>
          <w:tcPr>
            <w:tcW w:w="2972" w:type="dxa"/>
          </w:tcPr>
          <w:p w14:paraId="7A002B8A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Oprogramowanie do zarządzania</w:t>
            </w:r>
          </w:p>
        </w:tc>
        <w:tc>
          <w:tcPr>
            <w:tcW w:w="6090" w:type="dxa"/>
          </w:tcPr>
          <w:p w14:paraId="73935187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W zestawie z urządzeniem, zarządzane w przeglądarce poprzez interfejs graficzny</w:t>
            </w:r>
          </w:p>
        </w:tc>
      </w:tr>
      <w:tr w:rsidR="0023597A" w:rsidRPr="0023597A" w14:paraId="16103C65" w14:textId="77777777" w:rsidTr="000B53FB">
        <w:tc>
          <w:tcPr>
            <w:tcW w:w="2972" w:type="dxa"/>
          </w:tcPr>
          <w:p w14:paraId="5528CD38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Cechy oprogramowania - Router</w:t>
            </w:r>
          </w:p>
        </w:tc>
        <w:tc>
          <w:tcPr>
            <w:tcW w:w="6090" w:type="dxa"/>
          </w:tcPr>
          <w:p w14:paraId="1955C379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Routing oparty na zasadach</w:t>
            </w:r>
          </w:p>
          <w:p w14:paraId="0A38C28A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Wiele adresów IP per interfejs</w:t>
            </w:r>
          </w:p>
          <w:p w14:paraId="3E8BE9D8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Złożone mapowanie NAT</w:t>
            </w:r>
          </w:p>
          <w:p w14:paraId="1896E8C6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Jednoczesna obsługa protokołów IPv4, IPv6</w:t>
            </w:r>
          </w:p>
          <w:p w14:paraId="706CBD95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- Obsługa High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Availability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 (HA)</w:t>
            </w:r>
          </w:p>
          <w:p w14:paraId="16B1EC2D" w14:textId="77777777" w:rsidR="0023597A" w:rsidRPr="0023597A" w:rsidRDefault="0023597A" w:rsidP="0023597A">
            <w:pPr>
              <w:spacing w:line="259" w:lineRule="auto"/>
              <w:jc w:val="both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Obsługa dynamicznego protokołu routingu i routingu statycznego</w:t>
            </w:r>
          </w:p>
          <w:p w14:paraId="42BE3551" w14:textId="77777777" w:rsidR="0023597A" w:rsidRPr="0023597A" w:rsidRDefault="0023597A" w:rsidP="0023597A">
            <w:pPr>
              <w:spacing w:line="259" w:lineRule="auto"/>
              <w:jc w:val="both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lastRenderedPageBreak/>
              <w:t>- Obsługa wielu połączeń WAN z balansowaniem obciążenia i przełączaniem awaryjnym</w:t>
            </w:r>
          </w:p>
        </w:tc>
      </w:tr>
      <w:tr w:rsidR="0023597A" w:rsidRPr="0023597A" w14:paraId="1C7A23FF" w14:textId="77777777" w:rsidTr="000B53FB">
        <w:tc>
          <w:tcPr>
            <w:tcW w:w="2972" w:type="dxa"/>
          </w:tcPr>
          <w:p w14:paraId="07E9AB9D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lastRenderedPageBreak/>
              <w:t>Cechy oprogramowania - Firewall</w:t>
            </w:r>
          </w:p>
        </w:tc>
        <w:tc>
          <w:tcPr>
            <w:tcW w:w="6090" w:type="dxa"/>
          </w:tcPr>
          <w:p w14:paraId="2A694D00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Rozbudowane reguły zapory sieciowej</w:t>
            </w:r>
          </w:p>
          <w:p w14:paraId="24BBBDDC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- Filtrowanie stanowe </w:t>
            </w:r>
          </w:p>
          <w:p w14:paraId="516F77FD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Obsługa inspekcji pakietów</w:t>
            </w:r>
          </w:p>
          <w:p w14:paraId="3C5B014C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Możliwość konfiguracji każdego interfejsu</w:t>
            </w:r>
          </w:p>
          <w:p w14:paraId="0A4D9907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Filtrowanie w oparciu o IP/DNS</w:t>
            </w:r>
          </w:p>
          <w:p w14:paraId="5DF461E8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Obsługa wykrywania i zapobiegania włamań</w:t>
            </w:r>
          </w:p>
          <w:p w14:paraId="035CDC40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Filtrowanie warstwy 7 (aplikacji)</w:t>
            </w:r>
          </w:p>
        </w:tc>
      </w:tr>
      <w:tr w:rsidR="0023597A" w:rsidRPr="0023597A" w14:paraId="333FE0AA" w14:textId="77777777" w:rsidTr="000B53FB">
        <w:tc>
          <w:tcPr>
            <w:tcW w:w="2972" w:type="dxa"/>
          </w:tcPr>
          <w:p w14:paraId="14C3AF94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Cechy oprogramowanie - VPN</w:t>
            </w:r>
          </w:p>
        </w:tc>
        <w:tc>
          <w:tcPr>
            <w:tcW w:w="6090" w:type="dxa"/>
          </w:tcPr>
          <w:p w14:paraId="32336E40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- Obsługa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IPsec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OpenVPN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WireGuard</w:t>
            </w:r>
            <w:proofErr w:type="spellEnd"/>
          </w:p>
          <w:p w14:paraId="7A194A8A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- Obsługa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prokotołów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 opartych na polityce i routingu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IPSec</w:t>
            </w:r>
            <w:proofErr w:type="spellEnd"/>
          </w:p>
          <w:p w14:paraId="374D804D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Obsługa tworzenie VPN punkt-punkt</w:t>
            </w:r>
          </w:p>
        </w:tc>
      </w:tr>
      <w:tr w:rsidR="0023597A" w:rsidRPr="0023597A" w14:paraId="2CE8AEB3" w14:textId="77777777" w:rsidTr="000B53FB">
        <w:tc>
          <w:tcPr>
            <w:tcW w:w="2972" w:type="dxa"/>
          </w:tcPr>
          <w:p w14:paraId="349AB9AB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Autentykacja użytkowników</w:t>
            </w:r>
          </w:p>
        </w:tc>
        <w:tc>
          <w:tcPr>
            <w:tcW w:w="6090" w:type="dxa"/>
          </w:tcPr>
          <w:p w14:paraId="2ED19BC8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Uprawnienia oparte na użytkownikach i grupach</w:t>
            </w:r>
          </w:p>
          <w:p w14:paraId="3A520626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Uwierzytelnianie LDAP</w:t>
            </w:r>
          </w:p>
          <w:p w14:paraId="77C2A602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Dostęp SSH oparty na kluczach</w:t>
            </w:r>
          </w:p>
          <w:p w14:paraId="0167A280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Automatyczne blokowanie użytkownika po wielokrotnych nieudanych próbach logowania</w:t>
            </w:r>
          </w:p>
          <w:p w14:paraId="7FD1C11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Uwierzytelnianie za pomocą protokołu RADIUS</w:t>
            </w:r>
          </w:p>
        </w:tc>
      </w:tr>
      <w:tr w:rsidR="0023597A" w:rsidRPr="0023597A" w14:paraId="1A6D8DAF" w14:textId="77777777" w:rsidTr="000B53FB">
        <w:tc>
          <w:tcPr>
            <w:tcW w:w="2972" w:type="dxa"/>
          </w:tcPr>
          <w:p w14:paraId="7582E244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Monitorowanie i raportowanie </w:t>
            </w:r>
          </w:p>
        </w:tc>
        <w:tc>
          <w:tcPr>
            <w:tcW w:w="6090" w:type="dxa"/>
          </w:tcPr>
          <w:p w14:paraId="392F315B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Konfigurowalny pulpit nawigacyjny z widżetami</w:t>
            </w:r>
          </w:p>
          <w:p w14:paraId="62854434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Lokalne wykresy monitorujące</w:t>
            </w:r>
          </w:p>
          <w:p w14:paraId="2D96580F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Zdalne logowanie</w:t>
            </w:r>
          </w:p>
          <w:p w14:paraId="7BBCF0C4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- Monitorowanie wykorzystania sieci i jej diagnostyka</w:t>
            </w:r>
          </w:p>
        </w:tc>
      </w:tr>
      <w:tr w:rsidR="0023597A" w:rsidRPr="0023597A" w14:paraId="3937141E" w14:textId="77777777" w:rsidTr="000B53FB">
        <w:tc>
          <w:tcPr>
            <w:tcW w:w="2972" w:type="dxa"/>
          </w:tcPr>
          <w:p w14:paraId="77E13D6D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Certyfikaty</w:t>
            </w:r>
          </w:p>
        </w:tc>
        <w:tc>
          <w:tcPr>
            <w:tcW w:w="6090" w:type="dxa"/>
          </w:tcPr>
          <w:p w14:paraId="16FE6A0C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FCC (klasa B), CE,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RoHS</w:t>
            </w:r>
            <w:proofErr w:type="spellEnd"/>
          </w:p>
        </w:tc>
      </w:tr>
      <w:tr w:rsidR="0023597A" w:rsidRPr="0023597A" w14:paraId="1DCDE642" w14:textId="77777777" w:rsidTr="000B53FB">
        <w:tc>
          <w:tcPr>
            <w:tcW w:w="2972" w:type="dxa"/>
          </w:tcPr>
          <w:p w14:paraId="110BA0DD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Temperatura pracy</w:t>
            </w:r>
          </w:p>
        </w:tc>
        <w:tc>
          <w:tcPr>
            <w:tcW w:w="6090" w:type="dxa"/>
          </w:tcPr>
          <w:p w14:paraId="0626E939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Od 0 do 40 stopni Celsiusa</w:t>
            </w:r>
          </w:p>
        </w:tc>
      </w:tr>
      <w:tr w:rsidR="0023597A" w:rsidRPr="0023597A" w14:paraId="3FA53BFB" w14:textId="77777777" w:rsidTr="000B53FB">
        <w:tc>
          <w:tcPr>
            <w:tcW w:w="2972" w:type="dxa"/>
          </w:tcPr>
          <w:p w14:paraId="7F072E71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Montaż</w:t>
            </w:r>
          </w:p>
        </w:tc>
        <w:tc>
          <w:tcPr>
            <w:tcW w:w="6090" w:type="dxa"/>
          </w:tcPr>
          <w:p w14:paraId="518D954B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W zestawie obudowa do montażu w szafie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rack</w:t>
            </w:r>
            <w:proofErr w:type="spellEnd"/>
          </w:p>
        </w:tc>
      </w:tr>
      <w:tr w:rsidR="0023597A" w:rsidRPr="0023597A" w14:paraId="15DACE94" w14:textId="77777777" w:rsidTr="000B53FB">
        <w:tc>
          <w:tcPr>
            <w:tcW w:w="2972" w:type="dxa"/>
          </w:tcPr>
          <w:p w14:paraId="40FAEEF0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Chłodzenie</w:t>
            </w:r>
          </w:p>
        </w:tc>
        <w:tc>
          <w:tcPr>
            <w:tcW w:w="6090" w:type="dxa"/>
          </w:tcPr>
          <w:p w14:paraId="75AD5675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Chłodzenie pasywne, bez wentylatorowe</w:t>
            </w:r>
          </w:p>
        </w:tc>
      </w:tr>
      <w:tr w:rsidR="0023597A" w:rsidRPr="0023597A" w14:paraId="4C2C6A6D" w14:textId="77777777" w:rsidTr="000B53FB">
        <w:tc>
          <w:tcPr>
            <w:tcW w:w="2972" w:type="dxa"/>
          </w:tcPr>
          <w:p w14:paraId="0633B1DA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>Gwarancja</w:t>
            </w:r>
          </w:p>
        </w:tc>
        <w:tc>
          <w:tcPr>
            <w:tcW w:w="6090" w:type="dxa"/>
          </w:tcPr>
          <w:p w14:paraId="083AA083" w14:textId="77777777" w:rsidR="0023597A" w:rsidRPr="0023597A" w:rsidRDefault="0023597A" w:rsidP="0023597A">
            <w:pPr>
              <w:spacing w:line="259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1 rok gwarancji 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door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>-to-</w:t>
            </w:r>
            <w:proofErr w:type="spellStart"/>
            <w:r w:rsidRPr="0023597A">
              <w:rPr>
                <w:kern w:val="2"/>
                <w:sz w:val="20"/>
                <w:szCs w:val="20"/>
                <w14:ligatures w14:val="standardContextual"/>
              </w:rPr>
              <w:t>door</w:t>
            </w:r>
            <w:proofErr w:type="spellEnd"/>
            <w:r w:rsidRPr="0023597A">
              <w:rPr>
                <w:kern w:val="2"/>
                <w:sz w:val="20"/>
                <w:szCs w:val="20"/>
                <w14:ligatures w14:val="standardContextual"/>
              </w:rPr>
              <w:t xml:space="preserve"> producenta lub autoryzowanego partnera producenta</w:t>
            </w:r>
          </w:p>
        </w:tc>
      </w:tr>
    </w:tbl>
    <w:p w14:paraId="234D4306" w14:textId="77777777" w:rsidR="000432D2" w:rsidRDefault="000432D2"/>
    <w:sectPr w:rsidR="000432D2" w:rsidSect="00D40120">
      <w:head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EEB3E" w14:textId="77777777" w:rsidR="0023597A" w:rsidRDefault="0023597A" w:rsidP="0023597A">
      <w:pPr>
        <w:spacing w:after="0" w:line="240" w:lineRule="auto"/>
      </w:pPr>
      <w:r>
        <w:separator/>
      </w:r>
    </w:p>
  </w:endnote>
  <w:endnote w:type="continuationSeparator" w:id="0">
    <w:p w14:paraId="2D861F3D" w14:textId="77777777" w:rsidR="0023597A" w:rsidRDefault="0023597A" w:rsidP="00235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5122" w14:textId="77777777" w:rsidR="0023597A" w:rsidRDefault="0023597A" w:rsidP="0023597A">
      <w:pPr>
        <w:spacing w:after="0" w:line="240" w:lineRule="auto"/>
      </w:pPr>
      <w:r>
        <w:separator/>
      </w:r>
    </w:p>
  </w:footnote>
  <w:footnote w:type="continuationSeparator" w:id="0">
    <w:p w14:paraId="6D21E8CF" w14:textId="77777777" w:rsidR="0023597A" w:rsidRDefault="0023597A" w:rsidP="00235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1E69C" w14:textId="445238AD" w:rsidR="0023597A" w:rsidRDefault="0023597A">
    <w:pPr>
      <w:pStyle w:val="Nagwek"/>
    </w:pPr>
    <w:r w:rsidRPr="0023597A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2155250F" wp14:editId="5A7B6C9E">
          <wp:extent cx="5762625" cy="600075"/>
          <wp:effectExtent l="0" t="0" r="9525" b="9525"/>
          <wp:docPr id="1388093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101929">
    <w:abstractNumId w:val="8"/>
  </w:num>
  <w:num w:numId="2" w16cid:durableId="586112612">
    <w:abstractNumId w:val="11"/>
  </w:num>
  <w:num w:numId="3" w16cid:durableId="1833721501">
    <w:abstractNumId w:val="10"/>
  </w:num>
  <w:num w:numId="4" w16cid:durableId="1977831976">
    <w:abstractNumId w:val="6"/>
  </w:num>
  <w:num w:numId="5" w16cid:durableId="1707410960">
    <w:abstractNumId w:val="5"/>
  </w:num>
  <w:num w:numId="6" w16cid:durableId="825315180">
    <w:abstractNumId w:val="7"/>
  </w:num>
  <w:num w:numId="7" w16cid:durableId="1116097140">
    <w:abstractNumId w:val="2"/>
  </w:num>
  <w:num w:numId="8" w16cid:durableId="1823277505">
    <w:abstractNumId w:val="3"/>
  </w:num>
  <w:num w:numId="9" w16cid:durableId="873806915">
    <w:abstractNumId w:val="9"/>
  </w:num>
  <w:num w:numId="10" w16cid:durableId="1115179048">
    <w:abstractNumId w:val="0"/>
  </w:num>
  <w:num w:numId="11" w16cid:durableId="1495995855">
    <w:abstractNumId w:val="4"/>
  </w:num>
  <w:num w:numId="12" w16cid:durableId="535393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20"/>
    <w:rsid w:val="00000C32"/>
    <w:rsid w:val="000432D2"/>
    <w:rsid w:val="0015345B"/>
    <w:rsid w:val="00173A53"/>
    <w:rsid w:val="001B0046"/>
    <w:rsid w:val="00223F9E"/>
    <w:rsid w:val="0023597A"/>
    <w:rsid w:val="003A2C94"/>
    <w:rsid w:val="0069436B"/>
    <w:rsid w:val="006D144A"/>
    <w:rsid w:val="007A339F"/>
    <w:rsid w:val="007C18A1"/>
    <w:rsid w:val="008450BE"/>
    <w:rsid w:val="008A1C01"/>
    <w:rsid w:val="00A457A7"/>
    <w:rsid w:val="00B40D91"/>
    <w:rsid w:val="00BC3A33"/>
    <w:rsid w:val="00BD1074"/>
    <w:rsid w:val="00C67644"/>
    <w:rsid w:val="00D17D0F"/>
    <w:rsid w:val="00D40120"/>
    <w:rsid w:val="00F5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1704E"/>
  <w15:chartTrackingRefBased/>
  <w15:docId w15:val="{11360E5B-00B0-8242-9891-CD28F774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120"/>
    <w:pPr>
      <w:spacing w:after="160" w:line="252" w:lineRule="auto"/>
    </w:pPr>
    <w:rPr>
      <w:rFonts w:ascii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01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1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01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01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01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01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01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01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01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01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1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01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01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01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01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01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01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01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01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01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01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01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01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0120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Bullet Number,List Paragraph1,lp1,List Paragraph2,ISCG Numerowanie,lp11,List Paragraph11,Bullet 1,Use Case List Paragraph,Body MS Bullet,T_SZ_List Paragraph,L1,Akapit z listą5,CP-UC"/>
    <w:basedOn w:val="Normalny"/>
    <w:link w:val="AkapitzlistZnak"/>
    <w:uiPriority w:val="34"/>
    <w:qFormat/>
    <w:rsid w:val="00D401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01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01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01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01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40120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D40120"/>
    <w:rPr>
      <w:color w:val="0000FF"/>
      <w:u w:val="single"/>
    </w:rPr>
  </w:style>
  <w:style w:type="paragraph" w:styleId="Bezodstpw">
    <w:name w:val="No Spacing"/>
    <w:uiPriority w:val="1"/>
    <w:qFormat/>
    <w:rsid w:val="00D40120"/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Bullet Number Znak,List Paragraph1 Znak,lp1 Znak,List Paragraph2 Znak,ISCG Numerowanie Znak,lp11 Znak,List Paragraph11 Znak,Bullet 1 Znak,Body MS Bullet Znak"/>
    <w:link w:val="Akapitzlist"/>
    <w:uiPriority w:val="34"/>
    <w:qFormat/>
    <w:locked/>
    <w:rsid w:val="00D40120"/>
  </w:style>
  <w:style w:type="paragraph" w:styleId="Nagwek">
    <w:name w:val="header"/>
    <w:basedOn w:val="Normalny"/>
    <w:link w:val="NagwekZnak"/>
    <w:uiPriority w:val="99"/>
    <w:unhideWhenUsed/>
    <w:rsid w:val="0023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97A"/>
    <w:rPr>
      <w:rFonts w:ascii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97A"/>
    <w:rPr>
      <w:rFonts w:ascii="Calibri" w:hAnsi="Calibri" w:cs="Calibri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23597A"/>
    <w:rPr>
      <w:rFonts w:ascii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27c48c-460b-460c-88b1-24701ec1e053">
      <Terms xmlns="http://schemas.microsoft.com/office/infopath/2007/PartnerControls"/>
    </lcf76f155ced4ddcb4097134ff3c332f>
    <TaxCatchAll xmlns="21405468-a37f-45b6-8068-73f5dca2472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1629F98393B4AA3DA12A94CC5D07F" ma:contentTypeVersion="18" ma:contentTypeDescription="Create a new document." ma:contentTypeScope="" ma:versionID="b1350df5fd8c2638b2701935bac84742">
  <xsd:schema xmlns:xsd="http://www.w3.org/2001/XMLSchema" xmlns:xs="http://www.w3.org/2001/XMLSchema" xmlns:p="http://schemas.microsoft.com/office/2006/metadata/properties" xmlns:ns2="b427c48c-460b-460c-88b1-24701ec1e053" xmlns:ns3="21405468-a37f-45b6-8068-73f5dca2472b" targetNamespace="http://schemas.microsoft.com/office/2006/metadata/properties" ma:root="true" ma:fieldsID="d6a5eaf5b61cc81ebf4019ef7d65d545" ns2:_="" ns3:_="">
    <xsd:import namespace="b427c48c-460b-460c-88b1-24701ec1e053"/>
    <xsd:import namespace="21405468-a37f-45b6-8068-73f5dca247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7c48c-460b-460c-88b1-24701ec1e0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2b20ff5-11f0-40ba-aaea-add5e55eab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05468-a37f-45b6-8068-73f5dca247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2ff8b17-8fce-4c06-bfe7-4b678a72f8e3}" ma:internalName="TaxCatchAll" ma:showField="CatchAllData" ma:web="21405468-a37f-45b6-8068-73f5dca247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E7F458-E5FB-42C6-8669-581619045891}">
  <ds:schemaRefs>
    <ds:schemaRef ds:uri="http://schemas.microsoft.com/office/2006/metadata/properties"/>
    <ds:schemaRef ds:uri="http://schemas.microsoft.com/office/infopath/2007/PartnerControls"/>
    <ds:schemaRef ds:uri="b427c48c-460b-460c-88b1-24701ec1e053"/>
    <ds:schemaRef ds:uri="21405468-a37f-45b6-8068-73f5dca2472b"/>
  </ds:schemaRefs>
</ds:datastoreItem>
</file>

<file path=customXml/itemProps2.xml><?xml version="1.0" encoding="utf-8"?>
<ds:datastoreItem xmlns:ds="http://schemas.openxmlformats.org/officeDocument/2006/customXml" ds:itemID="{94BF1C2F-5E77-4F29-B947-A004D39F7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27c48c-460b-460c-88b1-24701ec1e053"/>
    <ds:schemaRef ds:uri="21405468-a37f-45b6-8068-73f5dca247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91DF9-3657-463F-8687-64A079D901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Kaźmierczak</dc:creator>
  <cp:keywords/>
  <dc:description/>
  <cp:lastModifiedBy>Henryk Matuszczak</cp:lastModifiedBy>
  <cp:revision>7</cp:revision>
  <dcterms:created xsi:type="dcterms:W3CDTF">2025-06-26T12:04:00Z</dcterms:created>
  <dcterms:modified xsi:type="dcterms:W3CDTF">2025-08-07T07:19:00Z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0x0101005CB1629F98393B4AA3DA12A94CC5D07F</vt:lpwstr>
  </property>
</Properties>
</file>